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9A13" w14:textId="0972CAE6" w:rsidR="00632CFA" w:rsidRDefault="00B301B7" w:rsidP="00AE5B95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LA PANDÉMIE ET LES FORCES ARMÉES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404A3">
        <w:rPr>
          <w:b/>
          <w:sz w:val="28"/>
          <w:szCs w:val="28"/>
        </w:rPr>
        <w:t>BERNARD NORLAIN</w:t>
      </w:r>
    </w:p>
    <w:p w14:paraId="66943D34" w14:textId="32EF1E1E" w:rsidR="00BA142F" w:rsidRPr="00B301B7" w:rsidRDefault="00AE5B95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Depuis plus d’un an nous vivons</w:t>
      </w:r>
      <w:r w:rsidRPr="00B301B7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sous le joug de </w:t>
      </w:r>
      <w:r w:rsidR="00632CFA" w:rsidRPr="00B301B7">
        <w:rPr>
          <w:rFonts w:ascii="Arial" w:hAnsi="Arial"/>
          <w:color w:val="000000" w:themeColor="text1"/>
          <w:sz w:val="24"/>
          <w:szCs w:val="24"/>
        </w:rPr>
        <w:t xml:space="preserve">La Covid-19 </w:t>
      </w:r>
      <w:r w:rsidRPr="00B301B7">
        <w:rPr>
          <w:rFonts w:ascii="Arial" w:hAnsi="Arial"/>
          <w:color w:val="000000" w:themeColor="text1"/>
          <w:sz w:val="24"/>
          <w:szCs w:val="24"/>
        </w:rPr>
        <w:t>et cette crise qui se caractérise par sa durée, son amplitude planétaire et ses implications multiples, politiques, économiques, culturelles et sécuritaires nous montre que ce</w:t>
      </w:r>
      <w:r w:rsidR="00632CFA" w:rsidRPr="00B301B7">
        <w:rPr>
          <w:rFonts w:ascii="Arial" w:hAnsi="Arial"/>
          <w:color w:val="000000" w:themeColor="text1"/>
          <w:sz w:val="24"/>
          <w:szCs w:val="24"/>
        </w:rPr>
        <w:t xml:space="preserve"> virus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est </w:t>
      </w:r>
      <w:r w:rsidR="00632CFA" w:rsidRPr="00B301B7">
        <w:rPr>
          <w:rFonts w:ascii="Arial" w:hAnsi="Arial"/>
          <w:color w:val="000000" w:themeColor="text1"/>
          <w:sz w:val="24"/>
          <w:szCs w:val="24"/>
        </w:rPr>
        <w:t>autant géopolitique que sanitaire.</w:t>
      </w:r>
      <w:r w:rsid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301B7">
        <w:rPr>
          <w:rFonts w:ascii="Arial" w:hAnsi="Arial"/>
          <w:color w:val="000000" w:themeColor="text1"/>
          <w:sz w:val="24"/>
          <w:szCs w:val="24"/>
        </w:rPr>
        <w:t>Comme l’écrit Yuval Hariri</w:t>
      </w:r>
      <w:r w:rsidR="006309C1" w:rsidRPr="00B301B7">
        <w:rPr>
          <w:rStyle w:val="Marquenotebasdepage"/>
          <w:rFonts w:ascii="Arial" w:hAnsi="Arial"/>
          <w:color w:val="000000" w:themeColor="text1"/>
          <w:sz w:val="24"/>
          <w:szCs w:val="24"/>
        </w:rPr>
        <w:footnoteReference w:id="1"/>
      </w:r>
      <w:r w:rsidR="00632CFA" w:rsidRPr="00B301B7">
        <w:rPr>
          <w:rFonts w:ascii="Arial" w:hAnsi="Arial"/>
          <w:color w:val="000000" w:themeColor="text1"/>
          <w:sz w:val="24"/>
          <w:szCs w:val="24"/>
        </w:rPr>
        <w:t> :</w:t>
      </w:r>
      <w:r w:rsidR="00BD049A" w:rsidRPr="00B301B7">
        <w:rPr>
          <w:rFonts w:ascii="Arial" w:hAnsi="Arial"/>
          <w:color w:val="000000" w:themeColor="text1"/>
          <w:sz w:val="24"/>
          <w:szCs w:val="24"/>
        </w:rPr>
        <w:t> « </w:t>
      </w:r>
      <w:r w:rsidR="00632CFA" w:rsidRPr="00B301B7">
        <w:rPr>
          <w:rFonts w:ascii="Arial" w:hAnsi="Arial"/>
          <w:color w:val="000000" w:themeColor="text1"/>
          <w:sz w:val="24"/>
          <w:szCs w:val="24"/>
        </w:rPr>
        <w:t xml:space="preserve">L’humanité fait face à une crise globale. Peut-être </w:t>
      </w:r>
      <w:r w:rsidR="00BD049A" w:rsidRPr="00B301B7">
        <w:rPr>
          <w:rFonts w:ascii="Arial" w:hAnsi="Arial"/>
          <w:color w:val="000000" w:themeColor="text1"/>
          <w:sz w:val="24"/>
          <w:szCs w:val="24"/>
        </w:rPr>
        <w:t>la plus grande crise de notre génération. Les décisions prises transformeront probablement le monde pour les années à venir. Le monde sera différent. »</w:t>
      </w:r>
      <w:r w:rsidRPr="00B301B7">
        <w:rPr>
          <w:rFonts w:ascii="Arial" w:hAnsi="Arial"/>
          <w:color w:val="000000" w:themeColor="text1"/>
          <w:sz w:val="24"/>
          <w:szCs w:val="24"/>
        </w:rPr>
        <w:t>Il ajoute</w:t>
      </w:r>
      <w:r w:rsidR="00BD049A" w:rsidRPr="00B301B7">
        <w:rPr>
          <w:rFonts w:ascii="Arial" w:hAnsi="Arial"/>
          <w:color w:val="000000" w:themeColor="text1"/>
          <w:sz w:val="24"/>
          <w:szCs w:val="24"/>
        </w:rPr>
        <w:t xml:space="preserve"> que le monde aura le choix entre l’union c’est-à-dire la solidarité ou la désunion c’est-à-dire le chacun pour soi. </w:t>
      </w:r>
      <w:r w:rsidR="00146F65" w:rsidRPr="00B301B7">
        <w:rPr>
          <w:rFonts w:ascii="Arial" w:hAnsi="Arial"/>
          <w:color w:val="000000" w:themeColor="text1"/>
          <w:sz w:val="24"/>
          <w:szCs w:val="24"/>
        </w:rPr>
        <w:t xml:space="preserve">Le constat est </w:t>
      </w:r>
      <w:r w:rsidR="00BD049A" w:rsidRPr="00B301B7">
        <w:rPr>
          <w:rFonts w:ascii="Arial" w:hAnsi="Arial"/>
          <w:color w:val="000000" w:themeColor="text1"/>
          <w:sz w:val="24"/>
          <w:szCs w:val="24"/>
        </w:rPr>
        <w:t xml:space="preserve">que cette pandémie aura un impact considérable sur </w:t>
      </w:r>
      <w:r w:rsidR="00BA142F" w:rsidRPr="00B301B7">
        <w:rPr>
          <w:rFonts w:ascii="Arial" w:hAnsi="Arial"/>
          <w:color w:val="000000" w:themeColor="text1"/>
          <w:sz w:val="24"/>
          <w:szCs w:val="24"/>
        </w:rPr>
        <w:t>le paysage stratégi</w:t>
      </w:r>
      <w:r w:rsidR="00FB549F" w:rsidRPr="00B301B7">
        <w:rPr>
          <w:rFonts w:ascii="Arial" w:hAnsi="Arial"/>
          <w:color w:val="000000" w:themeColor="text1"/>
          <w:sz w:val="24"/>
          <w:szCs w:val="24"/>
        </w:rPr>
        <w:t>que mondial</w:t>
      </w:r>
      <w:r w:rsidR="00BA142F" w:rsidRPr="00B301B7">
        <w:rPr>
          <w:rFonts w:ascii="Arial" w:hAnsi="Arial"/>
          <w:color w:val="000000" w:themeColor="text1"/>
          <w:sz w:val="24"/>
          <w:szCs w:val="24"/>
        </w:rPr>
        <w:t xml:space="preserve"> donc sur notre politique de défense et de sécurité et donc sur nos armées.</w:t>
      </w:r>
    </w:p>
    <w:p w14:paraId="5FFCDAD7" w14:textId="77777777" w:rsidR="00EB65BA" w:rsidRPr="00B301B7" w:rsidRDefault="00EB65BA" w:rsidP="004D29AC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B301B7">
        <w:rPr>
          <w:rFonts w:ascii="Arial" w:hAnsi="Arial"/>
          <w:b/>
          <w:color w:val="000000" w:themeColor="text1"/>
          <w:sz w:val="24"/>
          <w:szCs w:val="24"/>
        </w:rPr>
        <w:t>Un peu d’Histoire</w:t>
      </w:r>
    </w:p>
    <w:p w14:paraId="5EDC8690" w14:textId="7ED9032A" w:rsidR="00DD53E8" w:rsidRPr="00B301B7" w:rsidRDefault="00146F65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Bien sûr cette </w:t>
      </w:r>
      <w:r w:rsidR="00DD53E8" w:rsidRPr="00B301B7">
        <w:rPr>
          <w:rFonts w:ascii="Arial" w:hAnsi="Arial"/>
          <w:color w:val="000000" w:themeColor="text1"/>
          <w:sz w:val="24"/>
          <w:szCs w:val="24"/>
        </w:rPr>
        <w:t xml:space="preserve"> pandémie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ne présente pas les mêmes caractéristiques qu’une arme biologique mais il n’est pas inutile de rappeler que la menace biologique est familière aux forces armées et </w:t>
      </w:r>
      <w:proofErr w:type="gramStart"/>
      <w:r w:rsidRPr="00B301B7">
        <w:rPr>
          <w:rFonts w:ascii="Arial" w:hAnsi="Arial"/>
          <w:color w:val="000000" w:themeColor="text1"/>
          <w:sz w:val="24"/>
          <w:szCs w:val="24"/>
        </w:rPr>
        <w:t>ce</w:t>
      </w:r>
      <w:proofErr w:type="gramEnd"/>
      <w:r w:rsidRPr="00B301B7">
        <w:rPr>
          <w:rFonts w:ascii="Arial" w:hAnsi="Arial"/>
          <w:color w:val="000000" w:themeColor="text1"/>
          <w:sz w:val="24"/>
          <w:szCs w:val="24"/>
        </w:rPr>
        <w:t xml:space="preserve"> depuis la plus haute antiquité. Parmi les nombreux exemples d’utilisation de l’arme biologique et bactériologique que les historiens de la guerre </w:t>
      </w:r>
      <w:r w:rsidR="00F05DCF" w:rsidRPr="00B301B7">
        <w:rPr>
          <w:rFonts w:ascii="Arial" w:hAnsi="Arial"/>
          <w:color w:val="000000" w:themeColor="text1"/>
          <w:sz w:val="24"/>
          <w:szCs w:val="24"/>
        </w:rPr>
        <w:t>et les stratèges ne manquent pas de rappeler, on peut citer</w:t>
      </w:r>
      <w:r w:rsidR="0053582B" w:rsidRPr="00B301B7">
        <w:rPr>
          <w:rFonts w:ascii="Arial" w:hAnsi="Arial"/>
          <w:color w:val="000000" w:themeColor="text1"/>
          <w:sz w:val="24"/>
          <w:szCs w:val="24"/>
        </w:rPr>
        <w:t>, entre autres,</w:t>
      </w:r>
      <w:r w:rsidR="00F05DCF" w:rsidRPr="00B301B7">
        <w:rPr>
          <w:rFonts w:ascii="Arial" w:hAnsi="Arial"/>
          <w:color w:val="000000" w:themeColor="text1"/>
          <w:sz w:val="24"/>
          <w:szCs w:val="24"/>
        </w:rPr>
        <w:t xml:space="preserve"> les cadavres de pestiférés catapultés à l’intérieur des villes assiégées. Plus récemment, l’unité de guerre biologique Unité 371 pen</w:t>
      </w:r>
      <w:r w:rsidR="00FB549F" w:rsidRPr="00B301B7">
        <w:rPr>
          <w:rFonts w:ascii="Arial" w:hAnsi="Arial"/>
          <w:color w:val="000000" w:themeColor="text1"/>
          <w:sz w:val="24"/>
          <w:szCs w:val="24"/>
        </w:rPr>
        <w:t>dant la guerre sino-japonaise. L</w:t>
      </w:r>
      <w:r w:rsidR="00F05DCF" w:rsidRPr="00B301B7">
        <w:rPr>
          <w:rFonts w:ascii="Arial" w:hAnsi="Arial"/>
          <w:color w:val="000000" w:themeColor="text1"/>
          <w:sz w:val="24"/>
          <w:szCs w:val="24"/>
        </w:rPr>
        <w:t xml:space="preserve">es programmes développés au XXème siècle par les plus grandes puissances mondiales, notamment </w:t>
      </w:r>
      <w:r w:rsidR="00B301B7" w:rsidRPr="00B301B7">
        <w:rPr>
          <w:rFonts w:ascii="Arial" w:hAnsi="Arial"/>
          <w:color w:val="000000" w:themeColor="text1"/>
          <w:sz w:val="24"/>
          <w:szCs w:val="24"/>
        </w:rPr>
        <w:t>américaines et russes</w:t>
      </w:r>
      <w:r w:rsidR="00F05DCF" w:rsidRPr="00B301B7">
        <w:rPr>
          <w:rFonts w:ascii="Arial" w:hAnsi="Arial"/>
          <w:color w:val="000000" w:themeColor="text1"/>
          <w:sz w:val="24"/>
          <w:szCs w:val="24"/>
        </w:rPr>
        <w:t>. Ce dernier pays ayant poursuivi dans les années 70-80 un programme d’ampleur « </w:t>
      </w:r>
      <w:proofErr w:type="spellStart"/>
      <w:r w:rsidR="00F05DCF" w:rsidRPr="00B301B7">
        <w:rPr>
          <w:rFonts w:ascii="Arial" w:hAnsi="Arial"/>
          <w:color w:val="000000" w:themeColor="text1"/>
          <w:sz w:val="24"/>
          <w:szCs w:val="24"/>
        </w:rPr>
        <w:t>Biopreparat</w:t>
      </w:r>
      <w:proofErr w:type="spellEnd"/>
      <w:r w:rsidR="00F05DCF" w:rsidRPr="00B301B7">
        <w:rPr>
          <w:rFonts w:ascii="Arial" w:hAnsi="Arial"/>
          <w:color w:val="000000" w:themeColor="text1"/>
          <w:sz w:val="24"/>
          <w:szCs w:val="24"/>
        </w:rPr>
        <w:t> » qui provoquera un acciden</w:t>
      </w:r>
      <w:r w:rsidR="00E505BC" w:rsidRPr="00B301B7">
        <w:rPr>
          <w:rFonts w:ascii="Arial" w:hAnsi="Arial"/>
          <w:color w:val="000000" w:themeColor="text1"/>
          <w:sz w:val="24"/>
          <w:szCs w:val="24"/>
        </w:rPr>
        <w:t xml:space="preserve">t de contamination par le </w:t>
      </w:r>
      <w:r w:rsidR="00E505BC" w:rsidRPr="00B301B7">
        <w:rPr>
          <w:rFonts w:ascii="Arial" w:hAnsi="Arial"/>
          <w:i/>
          <w:color w:val="000000" w:themeColor="text1"/>
          <w:sz w:val="24"/>
          <w:szCs w:val="24"/>
        </w:rPr>
        <w:t xml:space="preserve">Bacillus </w:t>
      </w:r>
      <w:proofErr w:type="spellStart"/>
      <w:r w:rsidR="00E505BC" w:rsidRPr="00B301B7">
        <w:rPr>
          <w:rFonts w:ascii="Arial" w:hAnsi="Arial"/>
          <w:i/>
          <w:color w:val="000000" w:themeColor="text1"/>
          <w:sz w:val="24"/>
          <w:szCs w:val="24"/>
        </w:rPr>
        <w:t>anthracis</w:t>
      </w:r>
      <w:proofErr w:type="spellEnd"/>
      <w:r w:rsidR="00F05DCF" w:rsidRPr="00B301B7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F62233" w:rsidRPr="00B301B7">
        <w:rPr>
          <w:rFonts w:ascii="Arial" w:hAnsi="Arial"/>
          <w:color w:val="000000" w:themeColor="text1"/>
          <w:sz w:val="24"/>
          <w:szCs w:val="24"/>
        </w:rPr>
        <w:t xml:space="preserve">Mais aussi l’utilisation de l’arme biologique par des groupes terroristes comme la secte Aum </w:t>
      </w:r>
      <w:proofErr w:type="spellStart"/>
      <w:r w:rsidR="00F62233" w:rsidRPr="00B301B7">
        <w:rPr>
          <w:rFonts w:ascii="Arial" w:hAnsi="Arial"/>
          <w:color w:val="000000" w:themeColor="text1"/>
          <w:sz w:val="24"/>
          <w:szCs w:val="24"/>
        </w:rPr>
        <w:t>Shinrikyô</w:t>
      </w:r>
      <w:proofErr w:type="spellEnd"/>
      <w:r w:rsidR="00F62233" w:rsidRPr="00B301B7">
        <w:rPr>
          <w:rFonts w:ascii="Arial" w:hAnsi="Arial"/>
          <w:color w:val="000000" w:themeColor="text1"/>
          <w:sz w:val="24"/>
          <w:szCs w:val="24"/>
        </w:rPr>
        <w:t xml:space="preserve"> en 1994 ou par des individus dans le cas de l’affaire </w:t>
      </w:r>
      <w:proofErr w:type="spellStart"/>
      <w:r w:rsidR="00F62233" w:rsidRPr="00B301B7">
        <w:rPr>
          <w:rFonts w:ascii="Arial" w:hAnsi="Arial"/>
          <w:color w:val="000000" w:themeColor="text1"/>
          <w:sz w:val="24"/>
          <w:szCs w:val="24"/>
        </w:rPr>
        <w:t>Amérithrax</w:t>
      </w:r>
      <w:proofErr w:type="spellEnd"/>
      <w:r w:rsidR="00F62233" w:rsidRPr="00B301B7">
        <w:rPr>
          <w:rFonts w:ascii="Arial" w:hAnsi="Arial"/>
          <w:color w:val="000000" w:themeColor="text1"/>
          <w:sz w:val="24"/>
          <w:szCs w:val="24"/>
        </w:rPr>
        <w:t>.</w:t>
      </w:r>
    </w:p>
    <w:p w14:paraId="5951D1F1" w14:textId="665B6754" w:rsidR="00DD53E8" w:rsidRPr="00B301B7" w:rsidRDefault="00F62233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Aussi les forces armées se sont </w:t>
      </w:r>
      <w:r w:rsidR="00B301B7" w:rsidRPr="00B301B7">
        <w:rPr>
          <w:rFonts w:ascii="Arial" w:hAnsi="Arial"/>
          <w:color w:val="000000" w:themeColor="text1"/>
          <w:sz w:val="24"/>
          <w:szCs w:val="24"/>
        </w:rPr>
        <w:t>préparées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depuis longtemps à répondre à cette menace. Celle-ci</w:t>
      </w:r>
      <w:r w:rsidR="00FB549F" w:rsidRPr="00B301B7">
        <w:rPr>
          <w:rFonts w:ascii="Arial" w:hAnsi="Arial"/>
          <w:color w:val="000000" w:themeColor="text1"/>
          <w:sz w:val="24"/>
          <w:szCs w:val="24"/>
        </w:rPr>
        <w:t>,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si on la compare aux autres armes de destruction massive présente deux caractéristiques qui la distingue : son aire d’expansion et s</w:t>
      </w:r>
      <w:r w:rsidR="00DD53E8" w:rsidRPr="00B301B7">
        <w:rPr>
          <w:rFonts w:ascii="Arial" w:hAnsi="Arial"/>
          <w:color w:val="000000" w:themeColor="text1"/>
          <w:sz w:val="24"/>
          <w:szCs w:val="24"/>
        </w:rPr>
        <w:t>a durée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dans le temps</w:t>
      </w:r>
      <w:r w:rsidR="00DD53E8" w:rsidRPr="00B301B7">
        <w:rPr>
          <w:rFonts w:ascii="Arial" w:hAnsi="Arial"/>
          <w:color w:val="000000" w:themeColor="text1"/>
          <w:sz w:val="24"/>
          <w:szCs w:val="24"/>
        </w:rPr>
        <w:t xml:space="preserve">. Exemple de l’île de </w:t>
      </w:r>
      <w:proofErr w:type="spellStart"/>
      <w:r w:rsidR="00DD53E8" w:rsidRPr="00B301B7">
        <w:rPr>
          <w:rFonts w:ascii="Arial" w:hAnsi="Arial"/>
          <w:color w:val="000000" w:themeColor="text1"/>
          <w:sz w:val="24"/>
          <w:szCs w:val="24"/>
        </w:rPr>
        <w:t>Gruinard</w:t>
      </w:r>
      <w:proofErr w:type="spellEnd"/>
      <w:r w:rsidR="00DD53E8" w:rsidRPr="00B301B7">
        <w:rPr>
          <w:rFonts w:ascii="Arial" w:hAnsi="Arial"/>
          <w:color w:val="000000" w:themeColor="text1"/>
          <w:sz w:val="24"/>
          <w:szCs w:val="24"/>
        </w:rPr>
        <w:t xml:space="preserve"> contaminée depuis 40 ans par des essais britanniques avec du bacille de charbon</w:t>
      </w:r>
      <w:r w:rsidR="006322E1" w:rsidRPr="00B301B7">
        <w:rPr>
          <w:rFonts w:ascii="Arial" w:hAnsi="Arial"/>
          <w:color w:val="000000" w:themeColor="text1"/>
          <w:sz w:val="24"/>
          <w:szCs w:val="24"/>
        </w:rPr>
        <w:t>.</w:t>
      </w:r>
    </w:p>
    <w:p w14:paraId="32EFF40D" w14:textId="77777777" w:rsidR="00937409" w:rsidRPr="00B301B7" w:rsidRDefault="00DD53E8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Cependant, 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elle est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considérée par les militaires </w:t>
      </w:r>
      <w:r w:rsidR="0088689C" w:rsidRPr="00B301B7">
        <w:rPr>
          <w:rFonts w:ascii="Arial" w:hAnsi="Arial"/>
          <w:color w:val="000000" w:themeColor="text1"/>
          <w:sz w:val="24"/>
          <w:szCs w:val="24"/>
        </w:rPr>
        <w:t xml:space="preserve">comme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de peu d’efficacité opérationnelle </w:t>
      </w:r>
      <w:r w:rsidR="00F62233" w:rsidRPr="00B301B7">
        <w:rPr>
          <w:rFonts w:ascii="Arial" w:hAnsi="Arial"/>
          <w:color w:val="000000" w:themeColor="text1"/>
          <w:sz w:val="24"/>
          <w:szCs w:val="24"/>
        </w:rPr>
        <w:t>et depuis l’adoption de la Convention sur l’interdiction des armes biologiques, bactériologiques et à Toxines-CIABBT- comme bannie théorique</w:t>
      </w:r>
      <w:r w:rsidR="0053582B" w:rsidRPr="00B301B7">
        <w:rPr>
          <w:rFonts w:ascii="Arial" w:hAnsi="Arial"/>
          <w:color w:val="000000" w:themeColor="text1"/>
          <w:sz w:val="24"/>
          <w:szCs w:val="24"/>
        </w:rPr>
        <w:t>ment du champ de bataille. E</w:t>
      </w:r>
      <w:r w:rsidR="00EB65BA" w:rsidRPr="00B301B7">
        <w:rPr>
          <w:rFonts w:ascii="Arial" w:hAnsi="Arial"/>
          <w:color w:val="000000" w:themeColor="text1"/>
          <w:sz w:val="24"/>
          <w:szCs w:val="24"/>
        </w:rPr>
        <w:t xml:space="preserve">lle </w:t>
      </w:r>
      <w:r w:rsidR="00F62233" w:rsidRPr="00B301B7">
        <w:rPr>
          <w:rFonts w:ascii="Arial" w:hAnsi="Arial"/>
          <w:color w:val="000000" w:themeColor="text1"/>
          <w:sz w:val="24"/>
          <w:szCs w:val="24"/>
        </w:rPr>
        <w:t xml:space="preserve">est </w:t>
      </w:r>
      <w:r w:rsidR="0053582B" w:rsidRPr="00B301B7">
        <w:rPr>
          <w:rFonts w:ascii="Arial" w:hAnsi="Arial"/>
          <w:color w:val="000000" w:themeColor="text1"/>
          <w:sz w:val="24"/>
          <w:szCs w:val="24"/>
        </w:rPr>
        <w:t xml:space="preserve">ainsi </w:t>
      </w:r>
      <w:r w:rsidRPr="00B301B7">
        <w:rPr>
          <w:rFonts w:ascii="Arial" w:hAnsi="Arial"/>
          <w:color w:val="000000" w:themeColor="text1"/>
          <w:sz w:val="24"/>
          <w:szCs w:val="24"/>
        </w:rPr>
        <w:t>plutôt</w:t>
      </w:r>
      <w:r w:rsidR="00EB65BA" w:rsidRPr="00B301B7">
        <w:rPr>
          <w:rFonts w:ascii="Arial" w:hAnsi="Arial"/>
          <w:color w:val="000000" w:themeColor="text1"/>
          <w:sz w:val="24"/>
          <w:szCs w:val="24"/>
        </w:rPr>
        <w:t xml:space="preserve"> classée comme</w:t>
      </w:r>
      <w:r w:rsidR="00E06408"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301B7">
        <w:rPr>
          <w:rFonts w:ascii="Arial" w:hAnsi="Arial"/>
          <w:color w:val="000000" w:themeColor="text1"/>
          <w:sz w:val="24"/>
          <w:szCs w:val="24"/>
        </w:rPr>
        <w:t>une arme du terrorisme</w:t>
      </w:r>
      <w:r w:rsidR="006322E1" w:rsidRPr="00B301B7">
        <w:rPr>
          <w:rFonts w:ascii="Arial" w:hAnsi="Arial"/>
          <w:color w:val="000000" w:themeColor="text1"/>
          <w:sz w:val="24"/>
          <w:szCs w:val="24"/>
        </w:rPr>
        <w:t>.</w:t>
      </w:r>
    </w:p>
    <w:p w14:paraId="3A7266F9" w14:textId="77777777" w:rsidR="006322E1" w:rsidRPr="00B301B7" w:rsidRDefault="006322E1" w:rsidP="004D29AC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B301B7">
        <w:rPr>
          <w:rFonts w:ascii="Arial" w:hAnsi="Arial"/>
          <w:b/>
          <w:color w:val="000000" w:themeColor="text1"/>
          <w:sz w:val="24"/>
          <w:szCs w:val="24"/>
        </w:rPr>
        <w:t>Impacts du Covid sur les forces armées :</w:t>
      </w:r>
    </w:p>
    <w:p w14:paraId="51E5268A" w14:textId="77777777" w:rsidR="00FB0F85" w:rsidRPr="00B301B7" w:rsidRDefault="00FB0F85" w:rsidP="004D29AC">
      <w:pPr>
        <w:pStyle w:val="Paragraphedeliste"/>
        <w:numPr>
          <w:ilvl w:val="0"/>
          <w:numId w:val="5"/>
        </w:numPr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B301B7">
        <w:rPr>
          <w:rFonts w:ascii="Arial" w:hAnsi="Arial"/>
          <w:i/>
          <w:color w:val="000000" w:themeColor="text1"/>
          <w:sz w:val="24"/>
          <w:szCs w:val="24"/>
        </w:rPr>
        <w:t>Des capacités opérationnelles diminuées.</w:t>
      </w:r>
    </w:p>
    <w:p w14:paraId="5F044BEE" w14:textId="77777777" w:rsidR="00EB65BA" w:rsidRPr="00B301B7" w:rsidRDefault="00FB549F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Cependant si</w:t>
      </w:r>
      <w:r w:rsidR="00EB65BA" w:rsidRPr="00B301B7">
        <w:rPr>
          <w:rFonts w:ascii="Arial" w:hAnsi="Arial"/>
          <w:color w:val="000000" w:themeColor="text1"/>
          <w:sz w:val="24"/>
          <w:szCs w:val="24"/>
        </w:rPr>
        <w:t xml:space="preserve"> la pandémie du Covid-19 n’est pas de même nature qu’une arme biologique, elle n’est pas sans conséquences sur les capacités opérationnelles des forces armées.</w:t>
      </w:r>
    </w:p>
    <w:p w14:paraId="42E1D475" w14:textId="77777777" w:rsidR="00096257" w:rsidRPr="00B301B7" w:rsidRDefault="00EB65BA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lastRenderedPageBreak/>
        <w:t>D’après le Rapport d’information de la commi</w:t>
      </w:r>
      <w:r w:rsidR="005C3678" w:rsidRPr="00B301B7">
        <w:rPr>
          <w:rFonts w:ascii="Arial" w:hAnsi="Arial"/>
          <w:color w:val="000000" w:themeColor="text1"/>
          <w:sz w:val="24"/>
          <w:szCs w:val="24"/>
        </w:rPr>
        <w:t>ssion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Défense </w:t>
      </w:r>
      <w:r w:rsidR="00D84348" w:rsidRPr="00B301B7">
        <w:rPr>
          <w:rFonts w:ascii="Arial" w:hAnsi="Arial"/>
          <w:color w:val="000000" w:themeColor="text1"/>
          <w:sz w:val="24"/>
          <w:szCs w:val="24"/>
        </w:rPr>
        <w:t xml:space="preserve">nationale </w:t>
      </w:r>
      <w:r w:rsidRPr="00B301B7">
        <w:rPr>
          <w:rFonts w:ascii="Arial" w:hAnsi="Arial"/>
          <w:color w:val="000000" w:themeColor="text1"/>
          <w:sz w:val="24"/>
          <w:szCs w:val="24"/>
        </w:rPr>
        <w:t>et</w:t>
      </w:r>
      <w:r w:rsidR="00D84348" w:rsidRPr="00B301B7">
        <w:rPr>
          <w:rFonts w:ascii="Arial" w:hAnsi="Arial"/>
          <w:color w:val="000000" w:themeColor="text1"/>
          <w:sz w:val="24"/>
          <w:szCs w:val="24"/>
        </w:rPr>
        <w:t xml:space="preserve"> des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Forces armées</w:t>
      </w:r>
      <w:r w:rsidR="00F24B70"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772CE" w:rsidRPr="00B301B7">
        <w:rPr>
          <w:rFonts w:ascii="Arial" w:hAnsi="Arial"/>
          <w:color w:val="000000" w:themeColor="text1"/>
          <w:sz w:val="24"/>
          <w:szCs w:val="24"/>
        </w:rPr>
        <w:t>de l’Assemblée nationale</w:t>
      </w:r>
      <w:r w:rsidR="000772CE" w:rsidRPr="00B301B7">
        <w:rPr>
          <w:rStyle w:val="Marquenotebasdepage"/>
          <w:rFonts w:ascii="Arial" w:hAnsi="Arial"/>
          <w:color w:val="000000" w:themeColor="text1"/>
          <w:sz w:val="24"/>
          <w:szCs w:val="24"/>
        </w:rPr>
        <w:footnoteReference w:id="2"/>
      </w:r>
      <w:r w:rsidR="000772CE"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F24B70" w:rsidRPr="00B301B7">
        <w:rPr>
          <w:rFonts w:ascii="Arial" w:hAnsi="Arial"/>
          <w:color w:val="000000" w:themeColor="text1"/>
          <w:sz w:val="24"/>
          <w:szCs w:val="24"/>
        </w:rPr>
        <w:t>qui s’est penchée</w:t>
      </w:r>
      <w:r w:rsidR="0053582B" w:rsidRPr="00B301B7">
        <w:rPr>
          <w:rFonts w:ascii="Arial" w:hAnsi="Arial"/>
          <w:color w:val="000000" w:themeColor="text1"/>
          <w:sz w:val="24"/>
          <w:szCs w:val="24"/>
        </w:rPr>
        <w:t>, notamment,</w:t>
      </w:r>
      <w:r w:rsidR="00F24B70" w:rsidRPr="00B301B7">
        <w:rPr>
          <w:rFonts w:ascii="Arial" w:hAnsi="Arial"/>
          <w:color w:val="000000" w:themeColor="text1"/>
          <w:sz w:val="24"/>
          <w:szCs w:val="24"/>
        </w:rPr>
        <w:t xml:space="preserve"> sur le c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as du </w:t>
      </w:r>
      <w:r w:rsidR="00D84348" w:rsidRPr="00B301B7">
        <w:rPr>
          <w:rFonts w:ascii="Arial" w:hAnsi="Arial"/>
          <w:color w:val="000000" w:themeColor="text1"/>
          <w:sz w:val="24"/>
          <w:szCs w:val="24"/>
        </w:rPr>
        <w:t>GAN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 (Groupe </w:t>
      </w:r>
      <w:proofErr w:type="spellStart"/>
      <w:r w:rsidR="000642AF" w:rsidRPr="00B301B7">
        <w:rPr>
          <w:rFonts w:ascii="Arial" w:hAnsi="Arial"/>
          <w:color w:val="000000" w:themeColor="text1"/>
          <w:sz w:val="24"/>
          <w:szCs w:val="24"/>
        </w:rPr>
        <w:t>aéro-naval</w:t>
      </w:r>
      <w:proofErr w:type="spellEnd"/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), </w:t>
      </w:r>
      <w:r w:rsidR="00D84348" w:rsidRPr="00B301B7">
        <w:rPr>
          <w:rFonts w:ascii="Arial" w:hAnsi="Arial"/>
          <w:color w:val="000000" w:themeColor="text1"/>
          <w:sz w:val="24"/>
          <w:szCs w:val="24"/>
        </w:rPr>
        <w:t xml:space="preserve"> il a été </w:t>
      </w:r>
      <w:r w:rsidR="00F24B70" w:rsidRPr="00B301B7">
        <w:rPr>
          <w:rFonts w:ascii="Arial" w:hAnsi="Arial"/>
          <w:color w:val="000000" w:themeColor="text1"/>
          <w:sz w:val="24"/>
          <w:szCs w:val="24"/>
        </w:rPr>
        <w:t xml:space="preserve"> dénombré :</w:t>
      </w:r>
      <w:r w:rsidR="00096257"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F24B70" w:rsidRPr="00B301B7">
        <w:rPr>
          <w:rFonts w:ascii="Arial" w:hAnsi="Arial"/>
          <w:color w:val="000000" w:themeColor="text1"/>
          <w:sz w:val="24"/>
          <w:szCs w:val="24"/>
        </w:rPr>
        <w:t xml:space="preserve">sur 1900 marins, 1081 </w:t>
      </w:r>
      <w:r w:rsidR="005C3678" w:rsidRPr="00B301B7">
        <w:rPr>
          <w:rFonts w:ascii="Arial" w:hAnsi="Arial"/>
          <w:color w:val="000000" w:themeColor="text1"/>
          <w:sz w:val="24"/>
          <w:szCs w:val="24"/>
        </w:rPr>
        <w:t xml:space="preserve">cas </w:t>
      </w:r>
      <w:r w:rsidR="00F24B70" w:rsidRPr="00B301B7">
        <w:rPr>
          <w:rFonts w:ascii="Arial" w:hAnsi="Arial"/>
          <w:color w:val="000000" w:themeColor="text1"/>
          <w:sz w:val="24"/>
          <w:szCs w:val="24"/>
        </w:rPr>
        <w:t xml:space="preserve">positifs dont 1061 du porte-avions auxquels il faut ajouter  8 pilotes de chasse  et 7 membres du personnel navigant des autres appareils. </w:t>
      </w:r>
    </w:p>
    <w:p w14:paraId="6CA07507" w14:textId="77777777" w:rsidR="00F24B70" w:rsidRPr="00B301B7" w:rsidRDefault="00F24B70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La conséquence a été l’arrêt de l’activité du GAN qui, doit-on le rappeler, est un maillon important de la dissuasion nucléaire.</w:t>
      </w:r>
    </w:p>
    <w:p w14:paraId="62B6764A" w14:textId="77777777" w:rsidR="00096257" w:rsidRPr="00B301B7" w:rsidRDefault="00F24B70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Si le cas des SNLE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 (sous-marins lanceurs d’engins) </w:t>
      </w:r>
      <w:r w:rsidRPr="00B301B7">
        <w:rPr>
          <w:rFonts w:ascii="Arial" w:hAnsi="Arial"/>
          <w:color w:val="000000" w:themeColor="text1"/>
          <w:sz w:val="24"/>
          <w:szCs w:val="24"/>
        </w:rPr>
        <w:t>n’est pas évoqué dans ce rapport on peut imaginer sans peine les conséquences d’une contamination d’un ou plusieurs équipages de SNLE.</w:t>
      </w:r>
    </w:p>
    <w:p w14:paraId="0CE4F2B1" w14:textId="77777777" w:rsidR="00F24B70" w:rsidRPr="00B301B7" w:rsidRDefault="00F24B70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C’est en fait la permanence de la dissuasion nucléaire qui est en cause. Mais on peut aussi imaginer les conséquences d’une contamination du Président </w:t>
      </w:r>
      <w:r w:rsidR="00375F39" w:rsidRPr="00B301B7">
        <w:rPr>
          <w:rFonts w:ascii="Arial" w:hAnsi="Arial"/>
          <w:color w:val="000000" w:themeColor="text1"/>
          <w:sz w:val="24"/>
          <w:szCs w:val="24"/>
        </w:rPr>
        <w:t>sachant que le processus de dévolution de la frappe nucléaire est en France pa</w:t>
      </w:r>
      <w:r w:rsidR="005C3678" w:rsidRPr="00B301B7">
        <w:rPr>
          <w:rFonts w:ascii="Arial" w:hAnsi="Arial"/>
          <w:color w:val="000000" w:themeColor="text1"/>
          <w:sz w:val="24"/>
          <w:szCs w:val="24"/>
        </w:rPr>
        <w:t>rticulièrement opaque et sujet</w:t>
      </w:r>
      <w:r w:rsidR="00375F39" w:rsidRPr="00B301B7">
        <w:rPr>
          <w:rFonts w:ascii="Arial" w:hAnsi="Arial"/>
          <w:color w:val="000000" w:themeColor="text1"/>
          <w:sz w:val="24"/>
          <w:szCs w:val="24"/>
        </w:rPr>
        <w:t xml:space="preserve"> à diverses interprétations.</w:t>
      </w:r>
    </w:p>
    <w:p w14:paraId="463F22CD" w14:textId="77777777" w:rsidR="00375F39" w:rsidRPr="00B301B7" w:rsidRDefault="00375F39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Au-delà d’une paralysie partielle ou totale des capacités opérationnelles des forces armées c’est la dissuasion nucléaire qui se révèle extrêmement vulnérable à un simple virus. Or dans le discours officiel, la dissuasion nucléaire est « la clé de voûte de notre politique de défense » ou « la garantie ultime de notre sécurité » </w:t>
      </w:r>
    </w:p>
    <w:p w14:paraId="7F26FCA4" w14:textId="77777777" w:rsidR="0084217E" w:rsidRPr="00B301B7" w:rsidRDefault="00FB0F85" w:rsidP="004D29AC">
      <w:pPr>
        <w:pStyle w:val="Paragraphedeliste"/>
        <w:numPr>
          <w:ilvl w:val="0"/>
          <w:numId w:val="1"/>
        </w:numPr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B301B7">
        <w:rPr>
          <w:rFonts w:ascii="Arial" w:hAnsi="Arial"/>
          <w:i/>
          <w:color w:val="000000" w:themeColor="text1"/>
          <w:sz w:val="24"/>
          <w:szCs w:val="24"/>
        </w:rPr>
        <w:t xml:space="preserve">La contribution </w:t>
      </w:r>
      <w:r w:rsidR="001613D1" w:rsidRPr="00B301B7">
        <w:rPr>
          <w:rFonts w:ascii="Arial" w:hAnsi="Arial"/>
          <w:i/>
          <w:color w:val="000000" w:themeColor="text1"/>
          <w:sz w:val="24"/>
          <w:szCs w:val="24"/>
        </w:rPr>
        <w:t>des armées :</w:t>
      </w:r>
      <w:r w:rsidR="0084217E" w:rsidRPr="00B301B7">
        <w:rPr>
          <w:rFonts w:ascii="Arial" w:hAnsi="Arial"/>
          <w:i/>
          <w:color w:val="000000" w:themeColor="text1"/>
          <w:sz w:val="24"/>
          <w:szCs w:val="24"/>
        </w:rPr>
        <w:t xml:space="preserve"> Opération « Résilience »</w:t>
      </w:r>
    </w:p>
    <w:p w14:paraId="15B72E8B" w14:textId="77777777" w:rsidR="001613D1" w:rsidRPr="00B301B7" w:rsidRDefault="00FB0F85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Dans le cadre de la lutte contre 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une </w:t>
      </w:r>
      <w:r w:rsidRPr="00B301B7">
        <w:rPr>
          <w:rFonts w:ascii="Arial" w:hAnsi="Arial"/>
          <w:color w:val="000000" w:themeColor="text1"/>
          <w:sz w:val="24"/>
          <w:szCs w:val="24"/>
        </w:rPr>
        <w:t>menace biologique les armées ont développé une expertise  NRBC</w:t>
      </w:r>
      <w:r w:rsidR="000772CE" w:rsidRPr="00B301B7">
        <w:rPr>
          <w:rStyle w:val="Marquenotebasdepage"/>
          <w:rFonts w:ascii="Arial" w:hAnsi="Arial"/>
          <w:color w:val="000000" w:themeColor="text1"/>
          <w:sz w:val="24"/>
          <w:szCs w:val="24"/>
        </w:rPr>
        <w:footnoteReference w:id="3"/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. Celle-ci a été mise à profit pour le transfert de patients, 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avec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le 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>déploiement de l’EMR (</w:t>
      </w:r>
      <w:r w:rsidR="000772CE" w:rsidRPr="00B301B7">
        <w:rPr>
          <w:rFonts w:ascii="Arial" w:hAnsi="Arial"/>
          <w:color w:val="000000" w:themeColor="text1"/>
          <w:sz w:val="24"/>
          <w:szCs w:val="24"/>
        </w:rPr>
        <w:t>E</w:t>
      </w:r>
      <w:r w:rsidR="001613D1" w:rsidRPr="00B301B7">
        <w:rPr>
          <w:rFonts w:ascii="Arial" w:hAnsi="Arial"/>
          <w:color w:val="000000" w:themeColor="text1"/>
          <w:sz w:val="24"/>
          <w:szCs w:val="24"/>
        </w:rPr>
        <w:t>lé</w:t>
      </w:r>
      <w:r w:rsidR="00B26475" w:rsidRPr="00B301B7">
        <w:rPr>
          <w:rFonts w:ascii="Arial" w:hAnsi="Arial"/>
          <w:color w:val="000000" w:themeColor="text1"/>
          <w:sz w:val="24"/>
          <w:szCs w:val="24"/>
        </w:rPr>
        <w:t>ment M</w:t>
      </w:r>
      <w:r w:rsidR="001613D1" w:rsidRPr="00B301B7">
        <w:rPr>
          <w:rFonts w:ascii="Arial" w:hAnsi="Arial"/>
          <w:color w:val="000000" w:themeColor="text1"/>
          <w:sz w:val="24"/>
          <w:szCs w:val="24"/>
        </w:rPr>
        <w:t>i</w:t>
      </w:r>
      <w:r w:rsidR="00B26475" w:rsidRPr="00B301B7">
        <w:rPr>
          <w:rFonts w:ascii="Arial" w:hAnsi="Arial"/>
          <w:color w:val="000000" w:themeColor="text1"/>
          <w:sz w:val="24"/>
          <w:szCs w:val="24"/>
        </w:rPr>
        <w:t>litaire de R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éanimation)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d’une capacité de 30 lits.</w:t>
      </w:r>
    </w:p>
    <w:p w14:paraId="2F8153DA" w14:textId="77777777" w:rsidR="0084217E" w:rsidRPr="00B301B7" w:rsidRDefault="00437619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Le </w:t>
      </w:r>
      <w:r w:rsidR="0084217E" w:rsidRPr="00B301B7">
        <w:rPr>
          <w:rFonts w:ascii="Arial" w:hAnsi="Arial"/>
          <w:color w:val="000000" w:themeColor="text1"/>
          <w:sz w:val="24"/>
          <w:szCs w:val="24"/>
        </w:rPr>
        <w:t>2éme R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égiment de Dragons et le Régiment </w:t>
      </w:r>
      <w:r w:rsidR="0084217E" w:rsidRPr="00B301B7">
        <w:rPr>
          <w:rFonts w:ascii="Arial" w:hAnsi="Arial"/>
          <w:color w:val="000000" w:themeColor="text1"/>
          <w:sz w:val="24"/>
          <w:szCs w:val="24"/>
        </w:rPr>
        <w:t xml:space="preserve"> médical avec ses UMDA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 (</w:t>
      </w:r>
      <w:r w:rsidR="00A93E6F" w:rsidRPr="00B301B7">
        <w:rPr>
          <w:rFonts w:ascii="Arial" w:hAnsi="Arial"/>
          <w:color w:val="000000" w:themeColor="text1"/>
          <w:sz w:val="24"/>
          <w:szCs w:val="24"/>
        </w:rPr>
        <w:t>Unité Médical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>e de Décontamination des Armées)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a </w:t>
      </w:r>
      <w:r w:rsidRPr="00B301B7">
        <w:rPr>
          <w:rFonts w:ascii="Arial" w:hAnsi="Arial"/>
          <w:color w:val="000000" w:themeColor="text1"/>
          <w:sz w:val="24"/>
          <w:szCs w:val="24"/>
        </w:rPr>
        <w:t>été mis ainsi à contribution.</w:t>
      </w:r>
    </w:p>
    <w:p w14:paraId="0F7AA55E" w14:textId="77777777" w:rsidR="001613D1" w:rsidRPr="00B301B7" w:rsidRDefault="00437619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Les hôpitaux militaires ont accueillis</w:t>
      </w:r>
      <w:r w:rsidR="00D84348" w:rsidRPr="00B301B7">
        <w:rPr>
          <w:rFonts w:ascii="Arial" w:hAnsi="Arial"/>
          <w:color w:val="000000" w:themeColor="text1"/>
          <w:sz w:val="24"/>
          <w:szCs w:val="24"/>
        </w:rPr>
        <w:t xml:space="preserve">, au cours des premiers mois de la pandémie, </w:t>
      </w:r>
      <w:r w:rsidR="001613D1" w:rsidRPr="00B301B7">
        <w:rPr>
          <w:rFonts w:ascii="Arial" w:hAnsi="Arial"/>
          <w:color w:val="000000" w:themeColor="text1"/>
          <w:sz w:val="24"/>
          <w:szCs w:val="24"/>
        </w:rPr>
        <w:t>7845 patients dont 2140 hospi</w:t>
      </w:r>
      <w:r w:rsidRPr="00B301B7">
        <w:rPr>
          <w:rFonts w:ascii="Arial" w:hAnsi="Arial"/>
          <w:color w:val="000000" w:themeColor="text1"/>
          <w:sz w:val="24"/>
          <w:szCs w:val="24"/>
        </w:rPr>
        <w:t>talisés dont 400 en réanimation et ils participent activement à la campagne de vaccination.</w:t>
      </w:r>
    </w:p>
    <w:p w14:paraId="6F26D273" w14:textId="77777777" w:rsidR="006600F7" w:rsidRPr="00B301B7" w:rsidRDefault="00437619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Dans le cadre des vaccinations des personnels militaires le cas américain est intéressant à signaler. En effet, </w:t>
      </w:r>
      <w:r w:rsidR="00231672" w:rsidRPr="00B301B7">
        <w:rPr>
          <w:rFonts w:ascii="Arial" w:hAnsi="Arial"/>
          <w:color w:val="000000" w:themeColor="text1"/>
          <w:sz w:val="24"/>
          <w:szCs w:val="24"/>
        </w:rPr>
        <w:t>au sein des forces armées US</w:t>
      </w:r>
      <w:r w:rsidR="00E06408" w:rsidRPr="00B301B7">
        <w:rPr>
          <w:rFonts w:ascii="Arial" w:hAnsi="Arial"/>
          <w:color w:val="000000" w:themeColor="text1"/>
          <w:sz w:val="24"/>
          <w:szCs w:val="24"/>
        </w:rPr>
        <w:t> : un tiers des troupes américaines ont refus</w:t>
      </w:r>
      <w:r w:rsidRPr="00B301B7">
        <w:rPr>
          <w:rFonts w:ascii="Arial" w:hAnsi="Arial"/>
          <w:color w:val="000000" w:themeColor="text1"/>
          <w:sz w:val="24"/>
          <w:szCs w:val="24"/>
        </w:rPr>
        <w:t>é de se faire vacciner. Non</w:t>
      </w:r>
      <w:r w:rsidR="00E06408" w:rsidRPr="00B301B7">
        <w:rPr>
          <w:rFonts w:ascii="Arial" w:hAnsi="Arial"/>
          <w:color w:val="000000" w:themeColor="text1"/>
          <w:sz w:val="24"/>
          <w:szCs w:val="24"/>
        </w:rPr>
        <w:t xml:space="preserve"> pas pour des raisons conspirationnistes mais il semblerait que ce soit plutôt la conséquence des campagnes précédentes de vaccination</w:t>
      </w:r>
      <w:r w:rsidR="0053582B" w:rsidRPr="00B301B7">
        <w:rPr>
          <w:rFonts w:ascii="Arial" w:hAnsi="Arial"/>
          <w:color w:val="000000" w:themeColor="text1"/>
          <w:sz w:val="24"/>
          <w:szCs w:val="24"/>
        </w:rPr>
        <w:t xml:space="preserve"> contre l’anthrax, p</w:t>
      </w:r>
      <w:r w:rsidR="00E06408" w:rsidRPr="00B301B7">
        <w:rPr>
          <w:rFonts w:ascii="Arial" w:hAnsi="Arial"/>
          <w:color w:val="000000" w:themeColor="text1"/>
          <w:sz w:val="24"/>
          <w:szCs w:val="24"/>
        </w:rPr>
        <w:t>endant la première guerre du Golfe puis en 1997</w:t>
      </w:r>
      <w:r w:rsidRPr="00B301B7">
        <w:rPr>
          <w:rFonts w:ascii="Arial" w:hAnsi="Arial"/>
          <w:color w:val="000000" w:themeColor="text1"/>
          <w:sz w:val="24"/>
          <w:szCs w:val="24"/>
        </w:rPr>
        <w:t>,</w:t>
      </w:r>
      <w:r w:rsidR="00E06408" w:rsidRPr="00B301B7">
        <w:rPr>
          <w:rFonts w:ascii="Arial" w:hAnsi="Arial"/>
          <w:color w:val="000000" w:themeColor="text1"/>
          <w:sz w:val="24"/>
          <w:szCs w:val="24"/>
        </w:rPr>
        <w:t xml:space="preserve"> pour prévenir l’utilisation de nouvelles armes biologiques. En 2001  522 529 membres des forces armées avaient été vaccinés et en 2002 un rapport confirmait que 85 % des vaccinés avaient été victimes d’effets secondaires</w:t>
      </w:r>
      <w:r w:rsidR="006600F7" w:rsidRPr="00B301B7">
        <w:rPr>
          <w:rFonts w:ascii="Arial" w:hAnsi="Arial"/>
          <w:color w:val="000000" w:themeColor="text1"/>
          <w:sz w:val="24"/>
          <w:szCs w:val="24"/>
        </w:rPr>
        <w:t>.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 Ceci </w:t>
      </w:r>
      <w:r w:rsidRPr="00B301B7">
        <w:rPr>
          <w:rFonts w:ascii="Arial" w:hAnsi="Arial"/>
          <w:color w:val="000000" w:themeColor="text1"/>
          <w:sz w:val="24"/>
          <w:szCs w:val="24"/>
        </w:rPr>
        <w:t>expliquerait ce nombre important de refus de vaccins et donc la possibilité d’une contamination massive.</w:t>
      </w:r>
    </w:p>
    <w:p w14:paraId="0BDCBDBC" w14:textId="4084B516" w:rsidR="001613D1" w:rsidRPr="00B301B7" w:rsidRDefault="006600F7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lastRenderedPageBreak/>
        <w:t>Il y a peu le Pentagone annonçait que 237.561  membres des forces armées dont 152.905 militaires ont été contaminés par la Covid-19.</w:t>
      </w:r>
      <w:r w:rsidR="00E06408" w:rsidRPr="00B301B7">
        <w:rPr>
          <w:rFonts w:ascii="Arial" w:hAnsi="Arial"/>
          <w:color w:val="000000" w:themeColor="text1"/>
          <w:sz w:val="24"/>
          <w:szCs w:val="24"/>
        </w:rPr>
        <w:t xml:space="preserve">   </w:t>
      </w:r>
      <w:r w:rsidR="00437619" w:rsidRPr="00B301B7">
        <w:rPr>
          <w:rFonts w:ascii="Arial" w:hAnsi="Arial"/>
          <w:color w:val="000000" w:themeColor="text1"/>
          <w:sz w:val="24"/>
          <w:szCs w:val="24"/>
        </w:rPr>
        <w:t>En définitive, faute de moyens, le rôle du Service de Santé des Armées</w:t>
      </w:r>
      <w:r w:rsidR="000642AF" w:rsidRPr="00B301B7">
        <w:rPr>
          <w:rFonts w:ascii="Arial" w:hAnsi="Arial"/>
          <w:color w:val="000000" w:themeColor="text1"/>
          <w:sz w:val="24"/>
          <w:szCs w:val="24"/>
        </w:rPr>
        <w:t xml:space="preserve"> (SSA)</w:t>
      </w:r>
      <w:r w:rsidR="00437619" w:rsidRPr="00B301B7">
        <w:rPr>
          <w:rFonts w:ascii="Arial" w:hAnsi="Arial"/>
          <w:color w:val="000000" w:themeColor="text1"/>
          <w:sz w:val="24"/>
          <w:szCs w:val="24"/>
        </w:rPr>
        <w:t xml:space="preserve"> aura été relativement restreint.</w:t>
      </w:r>
      <w:r w:rsidR="001613D1"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31672" w:rsidRPr="00B301B7">
        <w:rPr>
          <w:rFonts w:ascii="Arial" w:hAnsi="Arial"/>
          <w:color w:val="000000" w:themeColor="text1"/>
          <w:sz w:val="24"/>
          <w:szCs w:val="24"/>
        </w:rPr>
        <w:t xml:space="preserve">Actuellement </w:t>
      </w:r>
      <w:r w:rsidR="00ED3F22" w:rsidRPr="00B301B7">
        <w:rPr>
          <w:rFonts w:ascii="Arial" w:hAnsi="Arial"/>
          <w:color w:val="000000" w:themeColor="text1"/>
          <w:sz w:val="24"/>
          <w:szCs w:val="24"/>
        </w:rPr>
        <w:t xml:space="preserve">le SSA comprend </w:t>
      </w:r>
      <w:r w:rsidR="001613D1" w:rsidRPr="00B301B7">
        <w:rPr>
          <w:rFonts w:ascii="Arial" w:hAnsi="Arial"/>
          <w:color w:val="000000" w:themeColor="text1"/>
          <w:sz w:val="24"/>
          <w:szCs w:val="24"/>
        </w:rPr>
        <w:t>2000 médecins/6500 infirmiers/3100 réservistes.</w:t>
      </w:r>
    </w:p>
    <w:p w14:paraId="2E678135" w14:textId="77777777" w:rsidR="002A017A" w:rsidRPr="00B301B7" w:rsidRDefault="002A017A" w:rsidP="004D29AC">
      <w:pPr>
        <w:spacing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B301B7">
        <w:rPr>
          <w:rFonts w:ascii="Arial" w:hAnsi="Arial"/>
          <w:b/>
          <w:color w:val="000000" w:themeColor="text1"/>
          <w:sz w:val="24"/>
          <w:szCs w:val="24"/>
        </w:rPr>
        <w:t>Enseignements et conséquences pour les armées</w:t>
      </w:r>
    </w:p>
    <w:p w14:paraId="53D492AA" w14:textId="77777777" w:rsidR="002A017A" w:rsidRPr="00B301B7" w:rsidRDefault="002A017A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L’épidémie de la Covid 19 nous a fait constater</w:t>
      </w:r>
    </w:p>
    <w:p w14:paraId="1D0B5761" w14:textId="77777777" w:rsidR="002A017A" w:rsidRPr="00B301B7" w:rsidRDefault="002A017A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  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- la vulnérabilité et la fragilité de la dissuasion nucléaire</w:t>
      </w:r>
    </w:p>
    <w:p w14:paraId="5723F2FD" w14:textId="77777777" w:rsidR="002A017A" w:rsidRPr="00B301B7" w:rsidRDefault="002A017A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    - un risque important de diminution des capacités opérationnelles des armées</w:t>
      </w:r>
    </w:p>
    <w:p w14:paraId="192DAA15" w14:textId="77777777" w:rsidR="002A017A" w:rsidRPr="00B301B7" w:rsidRDefault="002A017A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Un tel constat rend nécessaire</w:t>
      </w:r>
    </w:p>
    <w:p w14:paraId="1774466B" w14:textId="23D47C54" w:rsidR="00014741" w:rsidRPr="00B301B7" w:rsidRDefault="002A017A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     - une véritable révision et une réorientation de notre politique de défense - une remontée en puissance du SSA</w:t>
      </w:r>
      <w:r w:rsidR="00014741" w:rsidRPr="00B301B7">
        <w:rPr>
          <w:rFonts w:ascii="Arial" w:hAnsi="Arial"/>
          <w:color w:val="000000" w:themeColor="text1"/>
          <w:sz w:val="24"/>
          <w:szCs w:val="24"/>
        </w:rPr>
        <w:t xml:space="preserve">  - un renforcement de la mission territoriale des armées en terme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>s</w:t>
      </w:r>
      <w:r w:rsidR="00014741" w:rsidRPr="00B301B7">
        <w:rPr>
          <w:rFonts w:ascii="Arial" w:hAnsi="Arial"/>
          <w:color w:val="000000" w:themeColor="text1"/>
          <w:sz w:val="24"/>
          <w:szCs w:val="24"/>
        </w:rPr>
        <w:t xml:space="preserve"> de s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 xml:space="preserve">ûreté et </w:t>
      </w:r>
      <w:r w:rsidR="00014741" w:rsidRPr="00B301B7">
        <w:rPr>
          <w:rFonts w:ascii="Arial" w:hAnsi="Arial"/>
          <w:color w:val="000000" w:themeColor="text1"/>
          <w:sz w:val="24"/>
          <w:szCs w:val="24"/>
        </w:rPr>
        <w:t>d’assistance</w:t>
      </w:r>
    </w:p>
    <w:p w14:paraId="62BE2F5E" w14:textId="77777777" w:rsidR="00014741" w:rsidRPr="00B301B7" w:rsidRDefault="00014741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b/>
          <w:color w:val="000000" w:themeColor="text1"/>
          <w:sz w:val="24"/>
          <w:szCs w:val="24"/>
        </w:rPr>
        <w:t>Perspectives</w:t>
      </w:r>
    </w:p>
    <w:p w14:paraId="352C0157" w14:textId="77777777" w:rsidR="00014741" w:rsidRPr="00B301B7" w:rsidRDefault="00014741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>Ces réflexio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>ns doivent intégrer en outre la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véritable révolution en cours dans l’ordre de la biotechnologie et son impact déjà prévisible sur le combattant. Deux tendances s’expriment d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>’</w:t>
      </w:r>
      <w:r w:rsidRPr="00B301B7">
        <w:rPr>
          <w:rFonts w:ascii="Arial" w:hAnsi="Arial"/>
          <w:color w:val="000000" w:themeColor="text1"/>
          <w:sz w:val="24"/>
          <w:szCs w:val="24"/>
        </w:rPr>
        <w:t>ores et déjà :</w:t>
      </w:r>
    </w:p>
    <w:p w14:paraId="743C386D" w14:textId="77777777" w:rsidR="00014741" w:rsidRPr="00B301B7" w:rsidRDefault="00014741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        - L’extension des frontières de la performance humaine. Elle comporte la détermination des personnes les mieux adaptées pour des tâches cognitives ou physiques</w:t>
      </w:r>
      <w:r w:rsidR="00B557A6" w:rsidRPr="00B301B7">
        <w:rPr>
          <w:rFonts w:ascii="Arial" w:hAnsi="Arial"/>
          <w:color w:val="000000" w:themeColor="text1"/>
          <w:sz w:val="24"/>
          <w:szCs w:val="24"/>
        </w:rPr>
        <w:t xml:space="preserve"> et l’amélioration de leurs capacités naturelles grâce à des médications personnalisées ou à des biotechnologies</w:t>
      </w:r>
      <w:r w:rsidR="003A1307" w:rsidRPr="00B301B7">
        <w:rPr>
          <w:rFonts w:ascii="Arial" w:hAnsi="Arial"/>
          <w:color w:val="000000" w:themeColor="text1"/>
          <w:sz w:val="24"/>
          <w:szCs w:val="24"/>
        </w:rPr>
        <w:t>.</w:t>
      </w:r>
    </w:p>
    <w:p w14:paraId="4C570E28" w14:textId="3E23DA18" w:rsidR="00B1479C" w:rsidRPr="00B301B7" w:rsidRDefault="00B557A6" w:rsidP="004D29AC">
      <w:pPr>
        <w:spacing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         - La 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>mise au point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d’interface </w:t>
      </w:r>
      <w:r w:rsidR="003A1307" w:rsidRPr="00B301B7">
        <w:rPr>
          <w:rFonts w:ascii="Arial" w:hAnsi="Arial"/>
          <w:color w:val="000000" w:themeColor="text1"/>
          <w:sz w:val="24"/>
          <w:szCs w:val="24"/>
        </w:rPr>
        <w:t>cerveau/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ordinateur permettant de connecter le cerveau humain aux machines et de les contrôler. Actuellement </w:t>
      </w:r>
      <w:proofErr w:type="spellStart"/>
      <w:r w:rsidRPr="00B301B7">
        <w:rPr>
          <w:rFonts w:ascii="Arial" w:hAnsi="Arial"/>
          <w:color w:val="000000" w:themeColor="text1"/>
          <w:sz w:val="24"/>
          <w:szCs w:val="24"/>
        </w:rPr>
        <w:t>Elon</w:t>
      </w:r>
      <w:proofErr w:type="spellEnd"/>
      <w:r w:rsidRP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B301B7">
        <w:rPr>
          <w:rFonts w:ascii="Arial" w:hAnsi="Arial"/>
          <w:color w:val="000000" w:themeColor="text1"/>
          <w:sz w:val="24"/>
          <w:szCs w:val="24"/>
        </w:rPr>
        <w:t>Musk</w:t>
      </w:r>
      <w:proofErr w:type="spellEnd"/>
      <w:r w:rsidR="00B1479C" w:rsidRPr="00B301B7">
        <w:rPr>
          <w:rFonts w:ascii="Arial" w:hAnsi="Arial"/>
          <w:color w:val="000000" w:themeColor="text1"/>
          <w:sz w:val="24"/>
          <w:szCs w:val="24"/>
        </w:rPr>
        <w:t xml:space="preserve"> a lancé le projet « </w:t>
      </w:r>
      <w:proofErr w:type="spellStart"/>
      <w:r w:rsidR="00B1479C" w:rsidRPr="00B301B7">
        <w:rPr>
          <w:rFonts w:ascii="Arial" w:hAnsi="Arial"/>
          <w:color w:val="000000" w:themeColor="text1"/>
          <w:sz w:val="24"/>
          <w:szCs w:val="24"/>
        </w:rPr>
        <w:t>neuralink</w:t>
      </w:r>
      <w:proofErr w:type="spellEnd"/>
      <w:r w:rsidR="00B1479C" w:rsidRPr="00B301B7">
        <w:rPr>
          <w:rFonts w:ascii="Arial" w:hAnsi="Arial"/>
          <w:color w:val="000000" w:themeColor="text1"/>
          <w:sz w:val="24"/>
          <w:szCs w:val="24"/>
        </w:rPr>
        <w:t> » dont l’objectif à court terme est de pouvoir</w:t>
      </w:r>
      <w:r w:rsidR="00D72BF5" w:rsidRPr="00B301B7">
        <w:rPr>
          <w:rFonts w:ascii="Arial" w:hAnsi="Arial"/>
          <w:color w:val="000000" w:themeColor="text1"/>
          <w:sz w:val="24"/>
          <w:szCs w:val="24"/>
        </w:rPr>
        <w:t xml:space="preserve"> taper 40 mots par la seule pensée</w:t>
      </w:r>
      <w:r w:rsidR="00B301B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72BF5" w:rsidRPr="00B301B7">
        <w:rPr>
          <w:rFonts w:ascii="Arial" w:hAnsi="Arial"/>
          <w:color w:val="000000" w:themeColor="text1"/>
          <w:sz w:val="24"/>
          <w:szCs w:val="24"/>
        </w:rPr>
        <w:t>.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Le Comité d’éthique de la défense, récemment créé en France 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>devra</w:t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se pencher sur tous les aspects induits par ces innovations mais aussi sur les pratiques préventives d’un risque sanitaire 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 xml:space="preserve">tels vaccins et </w:t>
      </w:r>
      <w:r w:rsidRPr="00B301B7">
        <w:rPr>
          <w:rFonts w:ascii="Arial" w:hAnsi="Arial"/>
          <w:color w:val="000000" w:themeColor="text1"/>
          <w:sz w:val="24"/>
          <w:szCs w:val="24"/>
        </w:rPr>
        <w:t>traitements médicaux</w:t>
      </w:r>
      <w:r w:rsidR="00B1479C" w:rsidRPr="00B301B7">
        <w:rPr>
          <w:rFonts w:ascii="Arial" w:hAnsi="Arial"/>
          <w:color w:val="000000" w:themeColor="text1"/>
          <w:sz w:val="24"/>
          <w:szCs w:val="24"/>
        </w:rPr>
        <w:t xml:space="preserve"> en garantissant le consentement des intéressés et un suivi médical en cas d’acceptation.</w:t>
      </w:r>
    </w:p>
    <w:p w14:paraId="42C6E800" w14:textId="77777777" w:rsidR="004D29AC" w:rsidRPr="00B301B7" w:rsidRDefault="004D29AC" w:rsidP="004D29AC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B301B7">
        <w:rPr>
          <w:rFonts w:ascii="Arial" w:hAnsi="Arial"/>
          <w:b/>
          <w:color w:val="000000" w:themeColor="text1"/>
          <w:sz w:val="24"/>
          <w:szCs w:val="24"/>
        </w:rPr>
        <w:t>Conclusion</w:t>
      </w:r>
    </w:p>
    <w:p w14:paraId="3881AFC2" w14:textId="5B97F222" w:rsidR="004D29AC" w:rsidRPr="00B301B7" w:rsidRDefault="004D29AC" w:rsidP="004D29AC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00B301B7">
        <w:rPr>
          <w:rFonts w:ascii="Arial" w:hAnsi="Arial"/>
          <w:color w:val="000000" w:themeColor="text1"/>
          <w:sz w:val="24"/>
          <w:szCs w:val="24"/>
        </w:rPr>
        <w:t xml:space="preserve"> Marie-Thérèse Delpech</w:t>
      </w:r>
      <w:r w:rsidRPr="00B301B7">
        <w:rPr>
          <w:rStyle w:val="Marquenotebasdepage"/>
          <w:rFonts w:ascii="Arial" w:hAnsi="Arial"/>
          <w:color w:val="000000" w:themeColor="text1"/>
          <w:sz w:val="24"/>
          <w:szCs w:val="24"/>
        </w:rPr>
        <w:footnoteReference w:id="4"/>
      </w:r>
      <w:r w:rsidRPr="00B301B7">
        <w:rPr>
          <w:rFonts w:ascii="Arial" w:hAnsi="Arial"/>
          <w:color w:val="000000" w:themeColor="text1"/>
          <w:sz w:val="24"/>
          <w:szCs w:val="24"/>
        </w:rPr>
        <w:t xml:space="preserve"> avait écrit de façon prémonitoire « l’arme biologique est l’arme du XXIème siècle » Comme on l’a vu, les impacts de la pandémie du Covid-19 ont eu des conséquences </w:t>
      </w:r>
      <w:r w:rsidRPr="00B301B7">
        <w:rPr>
          <w:rFonts w:ascii="Arial" w:hAnsi="Arial"/>
          <w:sz w:val="24"/>
          <w:szCs w:val="24"/>
        </w:rPr>
        <w:t>importantes sur la Défense non seulement dans son fonctionnement actuel mais aussi pour ses missions dans le futur.</w:t>
      </w:r>
    </w:p>
    <w:p w14:paraId="62407A38" w14:textId="77777777" w:rsidR="004D29AC" w:rsidRPr="00B301B7" w:rsidRDefault="004D29AC" w:rsidP="004D29AC">
      <w:pPr>
        <w:rPr>
          <w:rFonts w:ascii="Arial" w:hAnsi="Arial"/>
          <w:sz w:val="24"/>
          <w:szCs w:val="24"/>
        </w:rPr>
      </w:pPr>
      <w:r w:rsidRPr="00B301B7">
        <w:rPr>
          <w:rFonts w:ascii="Arial" w:hAnsi="Arial"/>
          <w:sz w:val="24"/>
          <w:szCs w:val="24"/>
        </w:rPr>
        <w:t>Dans un moment où les mots de « autonomie stratégique » et de « souveraineté » sont au cœur de la réflexion stratégique et de notre capacité à affronter les défis de sécurité de demain, cette pandémie vient nous rappeler que la souveraineté est aussi sanitaire.</w:t>
      </w:r>
    </w:p>
    <w:p w14:paraId="5E9DA0E4" w14:textId="77777777" w:rsidR="004D29AC" w:rsidRPr="00B301B7" w:rsidRDefault="004D29AC" w:rsidP="003A1307">
      <w:pPr>
        <w:spacing w:line="240" w:lineRule="auto"/>
        <w:jc w:val="both"/>
        <w:rPr>
          <w:rFonts w:ascii="Arial" w:hAnsi="Arial"/>
          <w:b/>
          <w:color w:val="FF0000"/>
          <w:sz w:val="24"/>
          <w:szCs w:val="24"/>
        </w:rPr>
      </w:pPr>
    </w:p>
    <w:p w14:paraId="60322FE8" w14:textId="77777777" w:rsidR="00B557A6" w:rsidRPr="00B301B7" w:rsidRDefault="00B557A6" w:rsidP="003A1307">
      <w:pPr>
        <w:spacing w:line="240" w:lineRule="auto"/>
        <w:jc w:val="both"/>
        <w:rPr>
          <w:rFonts w:ascii="Arial" w:hAnsi="Arial"/>
          <w:color w:val="FF0000"/>
          <w:sz w:val="24"/>
          <w:szCs w:val="24"/>
        </w:rPr>
      </w:pPr>
    </w:p>
    <w:p w14:paraId="0064B266" w14:textId="77777777" w:rsidR="00014741" w:rsidRPr="00B301B7" w:rsidRDefault="00014741" w:rsidP="00F968BA">
      <w:pPr>
        <w:rPr>
          <w:rFonts w:ascii="Arial" w:hAnsi="Arial"/>
          <w:color w:val="FF0000"/>
          <w:sz w:val="24"/>
          <w:szCs w:val="24"/>
        </w:rPr>
      </w:pPr>
    </w:p>
    <w:sectPr w:rsidR="00014741" w:rsidRPr="00B3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8F1E" w14:textId="77777777" w:rsidR="00385698" w:rsidRDefault="00385698" w:rsidP="006309C1">
      <w:pPr>
        <w:spacing w:after="0" w:line="240" w:lineRule="auto"/>
      </w:pPr>
      <w:r>
        <w:separator/>
      </w:r>
    </w:p>
  </w:endnote>
  <w:endnote w:type="continuationSeparator" w:id="0">
    <w:p w14:paraId="700748A3" w14:textId="77777777" w:rsidR="00385698" w:rsidRDefault="00385698" w:rsidP="0063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2402"/>
      <w:docPartObj>
        <w:docPartGallery w:val="Page Numbers (Bottom of Page)"/>
        <w:docPartUnique/>
      </w:docPartObj>
    </w:sdtPr>
    <w:sdtEndPr/>
    <w:sdtContent>
      <w:p w14:paraId="10BDBE7C" w14:textId="77777777" w:rsidR="00C951FC" w:rsidRDefault="00C951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515">
          <w:rPr>
            <w:noProof/>
          </w:rPr>
          <w:t>1</w:t>
        </w:r>
        <w:r>
          <w:fldChar w:fldCharType="end"/>
        </w:r>
      </w:p>
    </w:sdtContent>
  </w:sdt>
  <w:p w14:paraId="5A41580A" w14:textId="77777777" w:rsidR="00C951FC" w:rsidRDefault="00C951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A1BC" w14:textId="77777777" w:rsidR="00385698" w:rsidRDefault="00385698" w:rsidP="006309C1">
      <w:pPr>
        <w:spacing w:after="0" w:line="240" w:lineRule="auto"/>
      </w:pPr>
      <w:r>
        <w:separator/>
      </w:r>
    </w:p>
  </w:footnote>
  <w:footnote w:type="continuationSeparator" w:id="0">
    <w:p w14:paraId="2B234B0A" w14:textId="77777777" w:rsidR="00385698" w:rsidRDefault="00385698" w:rsidP="006309C1">
      <w:pPr>
        <w:spacing w:after="0" w:line="240" w:lineRule="auto"/>
      </w:pPr>
      <w:r>
        <w:continuationSeparator/>
      </w:r>
    </w:p>
  </w:footnote>
  <w:footnote w:id="1">
    <w:p w14:paraId="421A3DF8" w14:textId="77777777" w:rsidR="00C951FC" w:rsidRDefault="00C951FC">
      <w:pPr>
        <w:pStyle w:val="Notedebasdepage"/>
      </w:pPr>
      <w:r>
        <w:rPr>
          <w:rStyle w:val="Marquenotebasdepage"/>
        </w:rPr>
        <w:footnoteRef/>
      </w:r>
      <w:r>
        <w:t xml:space="preserve"> Historien et écrivain israélien</w:t>
      </w:r>
    </w:p>
  </w:footnote>
  <w:footnote w:id="2">
    <w:p w14:paraId="03C82BF6" w14:textId="77777777" w:rsidR="00C951FC" w:rsidRDefault="00C951FC">
      <w:pPr>
        <w:pStyle w:val="Notedebasdepage"/>
      </w:pPr>
      <w:r>
        <w:rPr>
          <w:rStyle w:val="Marquenotebasdepage"/>
        </w:rPr>
        <w:footnoteRef/>
      </w:r>
      <w:r>
        <w:t xml:space="preserve"> Rapport d’information par la Commission de la Défense nationale et des Forces armées portant sur l’impact, la gestion et les conséquences de la pandémie Covid-19- Juin 2020-</w:t>
      </w:r>
    </w:p>
  </w:footnote>
  <w:footnote w:id="3">
    <w:p w14:paraId="314B402E" w14:textId="77777777" w:rsidR="00C951FC" w:rsidRDefault="00C951FC">
      <w:pPr>
        <w:pStyle w:val="Notedebasdepage"/>
      </w:pPr>
      <w:r>
        <w:rPr>
          <w:rStyle w:val="Marquenotebasdepage"/>
        </w:rPr>
        <w:footnoteRef/>
      </w:r>
      <w:r>
        <w:t xml:space="preserve"> Nucléaire Radiologique Biologique et Chimique</w:t>
      </w:r>
    </w:p>
  </w:footnote>
  <w:footnote w:id="4">
    <w:p w14:paraId="2EE9E6F3" w14:textId="77777777" w:rsidR="004D29AC" w:rsidRDefault="004D29AC" w:rsidP="004D29AC">
      <w:pPr>
        <w:pStyle w:val="Notedebasdepage"/>
      </w:pPr>
      <w:r>
        <w:rPr>
          <w:rStyle w:val="Marquenotebasdepage"/>
        </w:rPr>
        <w:footnoteRef/>
      </w:r>
      <w:r>
        <w:t xml:space="preserve"> Marie-Thérèse Delpech, politologue 1948-2012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A7"/>
    <w:multiLevelType w:val="hybridMultilevel"/>
    <w:tmpl w:val="D2802ADE"/>
    <w:lvl w:ilvl="0" w:tplc="1B40AA6E">
      <w:start w:val="1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8148BA"/>
    <w:multiLevelType w:val="hybridMultilevel"/>
    <w:tmpl w:val="B596BD86"/>
    <w:lvl w:ilvl="0" w:tplc="25022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063"/>
    <w:multiLevelType w:val="hybridMultilevel"/>
    <w:tmpl w:val="FE92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58F1"/>
    <w:multiLevelType w:val="hybridMultilevel"/>
    <w:tmpl w:val="817AB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4B73"/>
    <w:multiLevelType w:val="hybridMultilevel"/>
    <w:tmpl w:val="EFBE0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17DC9"/>
    <w:multiLevelType w:val="hybridMultilevel"/>
    <w:tmpl w:val="CC986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A"/>
    <w:rsid w:val="00014741"/>
    <w:rsid w:val="00030E26"/>
    <w:rsid w:val="000642AF"/>
    <w:rsid w:val="000772CE"/>
    <w:rsid w:val="00096257"/>
    <w:rsid w:val="000D4F0A"/>
    <w:rsid w:val="00146F65"/>
    <w:rsid w:val="001613D1"/>
    <w:rsid w:val="00196128"/>
    <w:rsid w:val="001C6DE8"/>
    <w:rsid w:val="00231672"/>
    <w:rsid w:val="002404A3"/>
    <w:rsid w:val="002934D3"/>
    <w:rsid w:val="002A017A"/>
    <w:rsid w:val="002C2299"/>
    <w:rsid w:val="0030079F"/>
    <w:rsid w:val="0030516C"/>
    <w:rsid w:val="00375F39"/>
    <w:rsid w:val="00385698"/>
    <w:rsid w:val="003A1307"/>
    <w:rsid w:val="00437619"/>
    <w:rsid w:val="004D29AC"/>
    <w:rsid w:val="0053582B"/>
    <w:rsid w:val="005C3678"/>
    <w:rsid w:val="006309C1"/>
    <w:rsid w:val="006322E1"/>
    <w:rsid w:val="00632CFA"/>
    <w:rsid w:val="006600F7"/>
    <w:rsid w:val="00801DEC"/>
    <w:rsid w:val="0084217E"/>
    <w:rsid w:val="0088689C"/>
    <w:rsid w:val="00937409"/>
    <w:rsid w:val="00987942"/>
    <w:rsid w:val="00995515"/>
    <w:rsid w:val="00A82B33"/>
    <w:rsid w:val="00A93E6F"/>
    <w:rsid w:val="00AE5B95"/>
    <w:rsid w:val="00B1479C"/>
    <w:rsid w:val="00B26475"/>
    <w:rsid w:val="00B301B7"/>
    <w:rsid w:val="00B5124F"/>
    <w:rsid w:val="00B557A6"/>
    <w:rsid w:val="00BA142F"/>
    <w:rsid w:val="00BD049A"/>
    <w:rsid w:val="00C951FC"/>
    <w:rsid w:val="00CB15A4"/>
    <w:rsid w:val="00D72BF5"/>
    <w:rsid w:val="00D7715A"/>
    <w:rsid w:val="00D81AEC"/>
    <w:rsid w:val="00D84348"/>
    <w:rsid w:val="00DD53E8"/>
    <w:rsid w:val="00E06408"/>
    <w:rsid w:val="00E505BC"/>
    <w:rsid w:val="00EB65BA"/>
    <w:rsid w:val="00ED3F22"/>
    <w:rsid w:val="00F05DCF"/>
    <w:rsid w:val="00F2174D"/>
    <w:rsid w:val="00F24B70"/>
    <w:rsid w:val="00F62233"/>
    <w:rsid w:val="00F968BA"/>
    <w:rsid w:val="00FA34EC"/>
    <w:rsid w:val="00FB0F85"/>
    <w:rsid w:val="00FB549F"/>
    <w:rsid w:val="00FD1FAE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DA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3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09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09C1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309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82B"/>
  </w:style>
  <w:style w:type="paragraph" w:styleId="Pieddepage">
    <w:name w:val="footer"/>
    <w:basedOn w:val="Normal"/>
    <w:link w:val="PieddepageCar"/>
    <w:uiPriority w:val="99"/>
    <w:unhideWhenUsed/>
    <w:rsid w:val="005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8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3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09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09C1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6309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82B"/>
  </w:style>
  <w:style w:type="paragraph" w:styleId="Pieddepage">
    <w:name w:val="footer"/>
    <w:basedOn w:val="Normal"/>
    <w:link w:val="PieddepageCar"/>
    <w:uiPriority w:val="99"/>
    <w:unhideWhenUsed/>
    <w:rsid w:val="005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2EF7-8559-0343-9DE3-82CBCDB6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6792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Francine COHEN BOULAKIA</cp:lastModifiedBy>
  <cp:revision>2</cp:revision>
  <dcterms:created xsi:type="dcterms:W3CDTF">2021-06-19T16:42:00Z</dcterms:created>
  <dcterms:modified xsi:type="dcterms:W3CDTF">2021-06-19T16:42:00Z</dcterms:modified>
</cp:coreProperties>
</file>